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120" w:lineRule="auto"/>
        <w:rPr>
          <w:rFonts w:ascii="Adamina" w:cs="Adamina" w:eastAsia="Adamina" w:hAnsi="Adamina"/>
          <w:color w:val="202325"/>
          <w:sz w:val="68"/>
          <w:szCs w:val="68"/>
        </w:rPr>
      </w:pPr>
      <w:bookmarkStart w:colFirst="0" w:colLast="0" w:name="_k099tchs8jt0" w:id="0"/>
      <w:bookmarkEnd w:id="0"/>
      <w:r w:rsidDel="00000000" w:rsidR="00000000" w:rsidRPr="00000000">
        <w:rPr>
          <w:rFonts w:ascii="Adamina" w:cs="Adamina" w:eastAsia="Adamina" w:hAnsi="Adamina"/>
          <w:color w:val="202325"/>
          <w:sz w:val="68"/>
          <w:szCs w:val="68"/>
          <w:rtl w:val="0"/>
        </w:rPr>
        <w:t xml:space="preserve">Emotional Intelligence</w:t>
      </w:r>
    </w:p>
    <w:p w:rsidR="00000000" w:rsidDel="00000000" w:rsidP="00000000" w:rsidRDefault="00000000" w:rsidRPr="00000000" w14:paraId="00000002">
      <w:pPr>
        <w:spacing w:after="200" w:lineRule="auto"/>
        <w:rPr>
          <w:rFonts w:ascii="Inter" w:cs="Inter" w:eastAsia="Inter" w:hAnsi="Inter"/>
        </w:rPr>
      </w:pPr>
      <w:r w:rsidDel="00000000" w:rsidR="00000000" w:rsidRPr="00000000">
        <w:rPr>
          <w:rFonts w:ascii="Inter" w:cs="Inter" w:eastAsia="Inter" w:hAnsi="Inter"/>
          <w:highlight w:val="white"/>
          <w:rtl w:val="0"/>
        </w:rPr>
        <w:t xml:space="preserve">In order to prepare for this assignment, READ the information contained in the document “Streetcrafter Background.”</w:t>
      </w:r>
      <w:r w:rsidDel="00000000" w:rsidR="00000000" w:rsidRPr="00000000">
        <w:rPr>
          <w:rtl w:val="0"/>
        </w:rPr>
      </w:r>
    </w:p>
    <w:p w:rsidR="00000000" w:rsidDel="00000000" w:rsidP="00000000" w:rsidRDefault="00000000" w:rsidRPr="00000000" w14:paraId="00000003">
      <w:pPr>
        <w:pStyle w:val="Heading2"/>
        <w:spacing w:after="200" w:lineRule="auto"/>
        <w:rPr>
          <w:color w:val="202325"/>
          <w:sz w:val="14"/>
          <w:szCs w:val="14"/>
        </w:rPr>
      </w:pPr>
      <w:bookmarkStart w:colFirst="0" w:colLast="0" w:name="_627uq3j46mn4" w:id="1"/>
      <w:bookmarkEnd w:id="1"/>
      <w:r w:rsidDel="00000000" w:rsidR="00000000" w:rsidRPr="00000000">
        <w:rPr>
          <w:rFonts w:ascii="Adamina" w:cs="Adamina" w:eastAsia="Adamina" w:hAnsi="Adamina"/>
          <w:color w:val="202325"/>
          <w:sz w:val="44"/>
          <w:szCs w:val="44"/>
          <w:rtl w:val="0"/>
        </w:rPr>
        <w:t xml:space="preserve">Instructions</w:t>
      </w:r>
      <w:r w:rsidDel="00000000" w:rsidR="00000000" w:rsidRPr="00000000">
        <w:rPr>
          <w:rtl w:val="0"/>
        </w:rPr>
      </w:r>
    </w:p>
    <w:p w:rsidR="00000000" w:rsidDel="00000000" w:rsidP="00000000" w:rsidRDefault="00000000" w:rsidRPr="00000000" w14:paraId="00000004">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Jay is the top-selling customer for Streetcrafter. He is dedicated to growing his printing business using our products. One day Jay called Medin in a huff expressing concern about the pace of his business growth. He desperately wants to make his printing business the main source of income. However, creating a strong marketing campaign for him to scale is tough. In this scenario, Medin had to use emotional intelligence to help Jay get through this moment. Medin spent some time with Jay exploring his current situation and seeing what little and quick changes can help him gain momentum. After accomplishing this Medin encouraged him to keep going. He even offered Jay a limited-time discount on Streetcrafter products. Jay’s morale was boosted and he was determined to reach success.</w:t>
      </w:r>
    </w:p>
    <w:p w:rsidR="00000000" w:rsidDel="00000000" w:rsidP="00000000" w:rsidRDefault="00000000" w:rsidRPr="00000000" w14:paraId="00000005">
      <w:pPr>
        <w:rPr>
          <w:rFonts w:ascii="Inter" w:cs="Inter" w:eastAsia="Inter" w:hAnsi="Inter"/>
        </w:rPr>
      </w:pPr>
      <w:r w:rsidDel="00000000" w:rsidR="00000000" w:rsidRPr="00000000">
        <w:rPr/>
        <w:drawing>
          <wp:inline distB="114300" distT="114300" distL="114300" distR="114300">
            <wp:extent cx="5943600" cy="33401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720" w:hanging="360"/>
        <w:rPr>
          <w:rFonts w:ascii="Inter" w:cs="Inter" w:eastAsia="Inter" w:hAnsi="Inter"/>
        </w:rPr>
      </w:pPr>
      <w:r w:rsidDel="00000000" w:rsidR="00000000" w:rsidRPr="00000000">
        <w:rPr>
          <w:rFonts w:ascii="Inter" w:cs="Inter" w:eastAsia="Inter" w:hAnsi="Inter"/>
          <w:rtl w:val="0"/>
        </w:rPr>
        <w:t xml:space="preserve">For each of the four components of emotional intelligence, give an example of a time when you have demonstrated each skill.</w:t>
      </w:r>
    </w:p>
    <w:p w:rsidR="00000000" w:rsidDel="00000000" w:rsidP="00000000" w:rsidRDefault="00000000" w:rsidRPr="00000000" w14:paraId="00000007">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1440" w:hanging="360"/>
        <w:rPr>
          <w:rFonts w:ascii="Inter" w:cs="Inter" w:eastAsia="Inter" w:hAnsi="Inter"/>
        </w:rPr>
      </w:pPr>
      <w:r w:rsidDel="00000000" w:rsidR="00000000" w:rsidRPr="00000000">
        <w:rPr>
          <w:rFonts w:ascii="Inter" w:cs="Inter" w:eastAsia="Inter" w:hAnsi="Inter"/>
          <w:rtl w:val="0"/>
        </w:rPr>
        <w:t xml:space="preserve">Self-awareness</w:t>
      </w:r>
    </w:p>
    <w:p w:rsidR="00000000" w:rsidDel="00000000" w:rsidP="00000000" w:rsidRDefault="00000000" w:rsidRPr="00000000" w14:paraId="00000008">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1440" w:hanging="360"/>
        <w:rPr>
          <w:rFonts w:ascii="Inter" w:cs="Inter" w:eastAsia="Inter" w:hAnsi="Inter"/>
        </w:rPr>
      </w:pPr>
      <w:r w:rsidDel="00000000" w:rsidR="00000000" w:rsidRPr="00000000">
        <w:rPr>
          <w:rFonts w:ascii="Inter" w:cs="Inter" w:eastAsia="Inter" w:hAnsi="Inter"/>
          <w:rtl w:val="0"/>
        </w:rPr>
        <w:t xml:space="preserve">Self-management</w:t>
      </w:r>
    </w:p>
    <w:p w:rsidR="00000000" w:rsidDel="00000000" w:rsidP="00000000" w:rsidRDefault="00000000" w:rsidRPr="00000000" w14:paraId="00000009">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1440" w:hanging="360"/>
        <w:rPr>
          <w:rFonts w:ascii="Inter" w:cs="Inter" w:eastAsia="Inter" w:hAnsi="Inter"/>
        </w:rPr>
      </w:pPr>
      <w:r w:rsidDel="00000000" w:rsidR="00000000" w:rsidRPr="00000000">
        <w:rPr>
          <w:rFonts w:ascii="Inter" w:cs="Inter" w:eastAsia="Inter" w:hAnsi="Inter"/>
          <w:rtl w:val="0"/>
        </w:rPr>
        <w:t xml:space="preserve">Social awareness</w:t>
      </w:r>
    </w:p>
    <w:p w:rsidR="00000000" w:rsidDel="00000000" w:rsidP="00000000" w:rsidRDefault="00000000" w:rsidRPr="00000000" w14:paraId="0000000A">
      <w:pPr>
        <w:numPr>
          <w:ilvl w:val="1"/>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1440" w:hanging="360"/>
        <w:rPr>
          <w:rFonts w:ascii="Inter" w:cs="Inter" w:eastAsia="Inter" w:hAnsi="Inter"/>
        </w:rPr>
      </w:pPr>
      <w:r w:rsidDel="00000000" w:rsidR="00000000" w:rsidRPr="00000000">
        <w:rPr>
          <w:rFonts w:ascii="Inter" w:cs="Inter" w:eastAsia="Inter" w:hAnsi="Inter"/>
          <w:rtl w:val="0"/>
        </w:rPr>
        <w:t xml:space="preserve">Relationship management</w:t>
      </w:r>
    </w:p>
    <w:p w:rsidR="00000000" w:rsidDel="00000000" w:rsidP="00000000" w:rsidRDefault="00000000" w:rsidRPr="00000000" w14:paraId="0000000B">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For each of the four components of emotional intelligence, give an example of how each skill could be useful while you manage Streetcrafter.</w:t>
      </w:r>
    </w:p>
    <w:p w:rsidR="00000000" w:rsidDel="00000000" w:rsidP="00000000" w:rsidRDefault="00000000" w:rsidRPr="00000000" w14:paraId="0000000C">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u w:val="none"/>
        </w:rPr>
      </w:pPr>
      <w:r w:rsidDel="00000000" w:rsidR="00000000" w:rsidRPr="00000000">
        <w:rPr>
          <w:rFonts w:ascii="Inter" w:cs="Inter" w:eastAsia="Inter" w:hAnsi="Inter"/>
          <w:rtl w:val="0"/>
        </w:rPr>
        <w:t xml:space="preserve">Give an example of a time you managed a stressful situation using emotional intelligence. </w:t>
      </w:r>
    </w:p>
    <w:p w:rsidR="00000000" w:rsidDel="00000000" w:rsidP="00000000" w:rsidRDefault="00000000" w:rsidRPr="00000000" w14:paraId="0000000D">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u w:val="none"/>
        </w:rPr>
      </w:pPr>
      <w:r w:rsidDel="00000000" w:rsidR="00000000" w:rsidRPr="00000000">
        <w:rPr>
          <w:rFonts w:ascii="Inter" w:cs="Inter" w:eastAsia="Inter" w:hAnsi="Inter"/>
          <w:rtl w:val="0"/>
        </w:rPr>
        <w:t xml:space="preserve">If you are working at Streetcrafter what ways would you show our customers emotional intelligence?</w:t>
      </w:r>
    </w:p>
    <w:p w:rsidR="00000000" w:rsidDel="00000000" w:rsidP="00000000" w:rsidRDefault="00000000" w:rsidRPr="00000000" w14:paraId="0000000E">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4op6rkn19vmn" w:id="2"/>
      <w:bookmarkEnd w:id="2"/>
      <w:r w:rsidDel="00000000" w:rsidR="00000000" w:rsidRPr="00000000">
        <w:br w:type="page"/>
      </w:r>
      <w:r w:rsidDel="00000000" w:rsidR="00000000" w:rsidRPr="00000000">
        <w:rPr>
          <w:rtl w:val="0"/>
        </w:rPr>
      </w:r>
    </w:p>
    <w:p w:rsidR="00000000" w:rsidDel="00000000" w:rsidP="00000000" w:rsidRDefault="00000000" w:rsidRPr="00000000" w14:paraId="00000010">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irgqnv8wz1it" w:id="3"/>
      <w:bookmarkEnd w:id="3"/>
      <w:r w:rsidDel="00000000" w:rsidR="00000000" w:rsidRPr="00000000">
        <w:rPr>
          <w:rFonts w:ascii="Adamina" w:cs="Adamina" w:eastAsia="Adamina" w:hAnsi="Adamina"/>
          <w:color w:val="202325"/>
          <w:sz w:val="44"/>
          <w:szCs w:val="44"/>
          <w:rtl w:val="0"/>
        </w:rPr>
        <w:t xml:space="preserve">Rubric</w:t>
      </w:r>
    </w:p>
    <w:p w:rsidR="00000000" w:rsidDel="00000000" w:rsidP="00000000" w:rsidRDefault="00000000" w:rsidRPr="00000000" w14:paraId="00000011">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1"/>
        </w:trPr>
        <w:tc>
          <w:tcP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Inter" w:cs="Inter" w:eastAsia="Inter" w:hAnsi="Inter"/>
                <w:shd w:fill="f3be36" w:val="clear"/>
              </w:rPr>
            </w:pPr>
            <w:r w:rsidDel="00000000" w:rsidR="00000000" w:rsidRPr="00000000">
              <w:rPr>
                <w:rtl w:val="0"/>
              </w:rPr>
            </w:r>
          </w:p>
        </w:tc>
        <w:tc>
          <w:tcPr>
            <w:shd w:fill="f3be36"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Inter" w:cs="Inter" w:eastAsia="Inter" w:hAnsi="Inter"/>
              </w:rPr>
            </w:pPr>
            <w:r w:rsidDel="00000000" w:rsidR="00000000" w:rsidRPr="00000000">
              <w:rPr>
                <w:rFonts w:ascii="Inter" w:cs="Inter" w:eastAsia="Inter" w:hAnsi="Inter"/>
                <w:rtl w:val="0"/>
              </w:rPr>
              <w:t xml:space="preserve">Excellent</w:t>
            </w:r>
          </w:p>
        </w:tc>
        <w:tc>
          <w:tcPr>
            <w:shd w:fill="ff5b5b"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w:t>
            </w:r>
          </w:p>
        </w:tc>
        <w:tc>
          <w:tcPr>
            <w:shd w:fill="93c1f5"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Inter" w:cs="Inter" w:eastAsia="Inter" w:hAnsi="Inter"/>
              </w:rPr>
            </w:pPr>
            <w:r w:rsidDel="00000000" w:rsidR="00000000" w:rsidRPr="00000000">
              <w:rPr>
                <w:rFonts w:ascii="Inter" w:cs="Inter" w:eastAsia="Inter" w:hAnsi="Inter"/>
                <w:rtl w:val="0"/>
              </w:rPr>
              <w:t xml:space="preserve">Fair</w:t>
            </w:r>
          </w:p>
        </w:tc>
        <w:tc>
          <w:tcPr>
            <w:shd w:fill="15b976"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Inter" w:cs="Inter" w:eastAsia="Inter" w:hAnsi="Inter"/>
              </w:rPr>
            </w:pPr>
            <w:r w:rsidDel="00000000" w:rsidR="00000000" w:rsidRPr="00000000">
              <w:rPr>
                <w:rFonts w:ascii="Inter" w:cs="Inter" w:eastAsia="Inter" w:hAnsi="Inter"/>
                <w:rtl w:val="0"/>
              </w:rPr>
              <w:t xml:space="preserve">Inadequate</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Writing and Communica-</w:t>
            </w:r>
          </w:p>
          <w:p w:rsidR="00000000" w:rsidDel="00000000" w:rsidP="00000000" w:rsidRDefault="00000000" w:rsidRPr="00000000" w14:paraId="00000018">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Inter" w:cs="Inter" w:eastAsia="Inter" w:hAnsi="Inter"/>
              </w:rPr>
            </w:pPr>
            <w:r w:rsidDel="00000000" w:rsidR="00000000" w:rsidRPr="00000000">
              <w:rPr>
                <w:rFonts w:ascii="Inter" w:cs="Inter" w:eastAsia="Inter" w:hAnsi="Inter"/>
                <w:rtl w:val="0"/>
              </w:rPr>
              <w:t xml:space="preserve">Superior grammar, structure and organization with no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 grammar, structure, and organization with few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Inter" w:cs="Inter" w:eastAsia="Inter" w:hAnsi="Inter"/>
              </w:rPr>
            </w:pPr>
            <w:r w:rsidDel="00000000" w:rsidR="00000000" w:rsidRPr="00000000">
              <w:rPr>
                <w:rFonts w:ascii="Inter" w:cs="Inter" w:eastAsia="Inter" w:hAnsi="Inter"/>
                <w:rtl w:val="0"/>
              </w:rPr>
              <w:t xml:space="preserve">Poor grammar and/or some typos resulting in weak 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Inter" w:cs="Inter" w:eastAsia="Inter" w:hAnsi="Inter"/>
              </w:rPr>
            </w:pPr>
            <w:r w:rsidDel="00000000" w:rsidR="00000000" w:rsidRPr="00000000">
              <w:rPr>
                <w:rFonts w:ascii="Inter" w:cs="Inter" w:eastAsia="Inter" w:hAnsi="Inter"/>
                <w:rtl w:val="0"/>
              </w:rPr>
              <w:t xml:space="preserve">Lack of clarity, grammar is confusing, and/or many typos resulting in poor presentation of thinking</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comprehensive and detailed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relevant but not comprehensive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or superficial understanding of the concepts underlying the assignment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no or minimal awareness of the concepts underlying the assignment</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Application and Analysis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outstanding ability to synthesize concepts, relates theory to practice, and uses a wide range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the ability to analyze and synthesize, making use of relevant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analysis and some use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Inter" w:cs="Inter" w:eastAsia="Inter" w:hAnsi="Inter"/>
              </w:rPr>
            </w:pPr>
            <w:r w:rsidDel="00000000" w:rsidR="00000000" w:rsidRPr="00000000">
              <w:rPr>
                <w:rFonts w:ascii="Inter" w:cs="Inter" w:eastAsia="Inter" w:hAnsi="Inter"/>
                <w:rtl w:val="0"/>
              </w:rPr>
              <w:t xml:space="preserve">Does not use critical analysis and/or fails to use supporting evidence</w:t>
            </w:r>
          </w:p>
        </w:tc>
      </w:tr>
    </w:tbl>
    <w:p w:rsidR="00000000" w:rsidDel="00000000" w:rsidP="00000000" w:rsidRDefault="00000000" w:rsidRPr="00000000" w14:paraId="00000027">
      <w:pPr>
        <w:pStyle w:val="Heading2"/>
        <w:spacing w:after="0" w:lineRule="auto"/>
        <w:rPr>
          <w:rFonts w:ascii="Adamina" w:cs="Adamina" w:eastAsia="Adamina" w:hAnsi="Adamina"/>
          <w:color w:val="202325"/>
          <w:sz w:val="44"/>
          <w:szCs w:val="44"/>
        </w:rPr>
      </w:pPr>
      <w:bookmarkStart w:colFirst="0" w:colLast="0" w:name="_n8nkd49ngl0q" w:id="4"/>
      <w:bookmarkEnd w:id="4"/>
      <w:r w:rsidDel="00000000" w:rsidR="00000000" w:rsidRPr="00000000">
        <w:rPr>
          <w:rtl w:val="0"/>
        </w:rPr>
      </w:r>
    </w:p>
    <w:p w:rsidR="00000000" w:rsidDel="00000000" w:rsidP="00000000" w:rsidRDefault="00000000" w:rsidRPr="00000000" w14:paraId="00000028">
      <w:pPr>
        <w:spacing w:after="200" w:lineRule="auto"/>
        <w:rPr>
          <w:rFonts w:ascii="Inter" w:cs="Inter" w:eastAsia="Inter" w:hAnsi="Inter"/>
          <w:color w:val="202325"/>
        </w:rPr>
      </w:pPr>
      <w:r w:rsidDel="00000000" w:rsidR="00000000" w:rsidRPr="00000000">
        <w:rPr>
          <w:rtl w:val="0"/>
        </w:rPr>
      </w:r>
    </w:p>
    <w:p w:rsidR="00000000" w:rsidDel="00000000" w:rsidP="00000000" w:rsidRDefault="00000000" w:rsidRPr="00000000" w14:paraId="00000029">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A">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B">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C">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2D">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pPr>
      <w:r w:rsidDel="00000000" w:rsidR="00000000" w:rsidRPr="00000000">
        <w:rPr>
          <w:rFonts w:ascii="Inter" w:cs="Inter" w:eastAsia="Inter" w:hAnsi="Inter"/>
          <w:b w:val="1"/>
          <w:color w:val="373d3f"/>
          <w:highlight w:val="white"/>
          <w:rtl w:val="0"/>
        </w:rPr>
        <w:t xml:space="preserve">Authored by</w:t>
      </w:r>
      <w:r w:rsidDel="00000000" w:rsidR="00000000" w:rsidRPr="00000000">
        <w:rPr>
          <w:rFonts w:ascii="Inter" w:cs="Inter" w:eastAsia="Inter" w:hAnsi="Inter"/>
          <w:color w:val="373d3f"/>
          <w:highlight w:val="white"/>
          <w:rtl w:val="0"/>
        </w:rPr>
        <w:t xml:space="preserve">: Lumen Learning. </w:t>
      </w:r>
      <w:r w:rsidDel="00000000" w:rsidR="00000000" w:rsidRPr="00000000">
        <w:rPr>
          <w:rFonts w:ascii="Inter" w:cs="Inter" w:eastAsia="Inter" w:hAnsi="Inter"/>
          <w:b w:val="1"/>
          <w:color w:val="373d3f"/>
          <w:highlight w:val="white"/>
          <w:rtl w:val="0"/>
        </w:rPr>
        <w:t xml:space="preserve">License</w:t>
      </w:r>
      <w:r w:rsidDel="00000000" w:rsidR="00000000" w:rsidRPr="00000000">
        <w:rPr>
          <w:rFonts w:ascii="Inter" w:cs="Inter" w:eastAsia="Inter" w:hAnsi="Inter"/>
          <w:color w:val="373d3f"/>
          <w:highlight w:val="white"/>
          <w:rtl w:val="0"/>
        </w:rPr>
        <w:t xml:space="preserve">: </w:t>
      </w:r>
      <w:hyperlink r:id="rId7">
        <w:r w:rsidDel="00000000" w:rsidR="00000000" w:rsidRPr="00000000">
          <w:rPr>
            <w:rFonts w:ascii="Inter" w:cs="Inter" w:eastAsia="Inter" w:hAnsi="Inter"/>
            <w:i w:val="1"/>
            <w:color w:val="6053c6"/>
            <w:highlight w:val="white"/>
            <w:u w:val="single"/>
            <w:rtl w:val="0"/>
          </w:rPr>
          <w:t xml:space="preserve">CC BY: Attribution</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 w:name="Adamina">
    <w:embedRegular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creativecommons.org/licenses/by/4.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Adamin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